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ahoma" w:eastAsia="黑体" w:cs="Tahoma"/>
          <w:szCs w:val="32"/>
        </w:rPr>
      </w:pPr>
      <w:r>
        <w:rPr>
          <w:rFonts w:hint="eastAsia" w:ascii="黑体" w:hAnsi="Tahoma" w:eastAsia="黑体" w:cs="Tahoma"/>
          <w:szCs w:val="32"/>
        </w:rPr>
        <w:t>附件</w:t>
      </w:r>
    </w:p>
    <w:p>
      <w:pPr>
        <w:spacing w:line="500" w:lineRule="exact"/>
        <w:rPr>
          <w:rFonts w:hint="eastAsia"/>
        </w:rPr>
      </w:pPr>
    </w:p>
    <w:p>
      <w:pPr>
        <w:spacing w:line="64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具备会计正高级专业技术资格人员名单</w:t>
      </w:r>
    </w:p>
    <w:p>
      <w:pPr>
        <w:spacing w:line="560" w:lineRule="exact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（6人）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黑体" w:hAnsi="黑体" w:eastAsia="黑体"/>
          <w:szCs w:val="32"/>
        </w:rPr>
      </w:pPr>
    </w:p>
    <w:tbl>
      <w:tblPr>
        <w:tblStyle w:val="3"/>
        <w:tblW w:w="9053" w:type="dxa"/>
        <w:jc w:val="center"/>
        <w:tblInd w:w="-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53"/>
        <w:gridCol w:w="3528"/>
        <w:gridCol w:w="1786"/>
        <w:gridCol w:w="19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姓  名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工作单位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资格名称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管理号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  艳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江西省科学院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36201811000895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  晶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江西赣粤高速公路股份有限公司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36201811000896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戚以萍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江西省卫计委项目资金监管中心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  凤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江西广播电视台财务管理中心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饶艳华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南昌市疾病预防控制中心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  郁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南昌住房公积金管理中心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正高级会计师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36201811000900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786E"/>
    <w:rsid w:val="0B546837"/>
    <w:rsid w:val="30097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2019-01-18T07:57:00Z</dcterms:created>
  <dc:creator>羽露</dc:creator>
  <cp:lastModifiedBy>羽露</cp:lastModifiedBy>
  <dcterms:modified xsi:type="dcterms:W3CDTF">2019-01-18T07:58:16Z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