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893F94">
      <w:pPr>
        <w:widowControl/>
        <w:spacing w:before="100" w:beforeAutospacing="1" w:after="100" w:afterAutospacing="1"/>
        <w:jc w:val="center"/>
        <w:outlineLvl w:val="3"/>
        <w:rPr>
          <w:rFonts w:ascii="方正小标宋_GBK" w:hAnsi="Calibri" w:eastAsia="方正小标宋_GBK" w:cs="Times New Roman"/>
          <w:sz w:val="44"/>
          <w:szCs w:val="44"/>
        </w:rPr>
      </w:pPr>
      <w:r>
        <w:rPr>
          <w:rFonts w:hint="eastAsia" w:ascii="方正小标宋_GBK" w:hAnsi="Calibri" w:eastAsia="方正小标宋_GBK" w:cs="Times New Roman"/>
          <w:sz w:val="44"/>
          <w:szCs w:val="44"/>
        </w:rPr>
        <w:t>江西省会计师事务所202</w:t>
      </w:r>
      <w:r>
        <w:rPr>
          <w:rFonts w:hint="eastAsia" w:ascii="方正小标宋_GBK" w:hAnsi="Calibri" w:eastAsia="方正小标宋_GBK" w:cs="Times New Roman"/>
          <w:sz w:val="44"/>
          <w:szCs w:val="44"/>
          <w:lang w:val="en-US" w:eastAsia="zh-CN"/>
        </w:rPr>
        <w:t>5</w:t>
      </w:r>
      <w:r>
        <w:rPr>
          <w:rFonts w:hint="eastAsia" w:ascii="方正小标宋_GBK" w:hAnsi="Calibri" w:eastAsia="方正小标宋_GBK" w:cs="Times New Roman"/>
          <w:sz w:val="44"/>
          <w:szCs w:val="44"/>
        </w:rPr>
        <w:t>年度报备指引</w:t>
      </w:r>
    </w:p>
    <w:p w14:paraId="20C0077C">
      <w:pPr>
        <w:pStyle w:val="8"/>
        <w:ind w:firstLine="640"/>
      </w:pPr>
      <w:r>
        <w:rPr>
          <w:rFonts w:hint="eastAsia" w:ascii="宋体" w:hAnsi="宋体" w:eastAsia="宋体" w:cs="Times New Roman"/>
          <w:color w:val="auto"/>
          <w:kern w:val="2"/>
          <w:sz w:val="32"/>
          <w:szCs w:val="32"/>
        </w:rPr>
        <w:t>根据</w:t>
      </w:r>
      <w:r>
        <w:rPr>
          <w:rFonts w:ascii="宋体" w:hAnsi="宋体" w:eastAsia="宋体" w:cs="Times New Roman"/>
          <w:color w:val="auto"/>
          <w:kern w:val="2"/>
          <w:sz w:val="32"/>
          <w:szCs w:val="32"/>
        </w:rPr>
        <w:t>财政部</w:t>
      </w:r>
      <w:r>
        <w:rPr>
          <w:rFonts w:hint="eastAsia" w:ascii="宋体" w:hAnsi="宋体" w:eastAsia="宋体" w:cs="Times New Roman"/>
          <w:color w:val="auto"/>
          <w:kern w:val="2"/>
          <w:sz w:val="32"/>
          <w:szCs w:val="32"/>
        </w:rPr>
        <w:t>《关于做好会计师事务所</w:t>
      </w:r>
      <w:r>
        <w:rPr>
          <w:rFonts w:ascii="宋体" w:hAnsi="宋体" w:eastAsia="宋体" w:cs="Times New Roman"/>
          <w:color w:val="auto"/>
          <w:kern w:val="2"/>
          <w:sz w:val="32"/>
          <w:szCs w:val="32"/>
        </w:rPr>
        <w:t>202</w:t>
      </w:r>
      <w:r>
        <w:rPr>
          <w:rFonts w:hint="eastAsia" w:ascii="宋体" w:hAnsi="宋体" w:eastAsia="宋体" w:cs="Times New Roman"/>
          <w:color w:val="auto"/>
          <w:kern w:val="2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Times New Roman"/>
          <w:color w:val="auto"/>
          <w:kern w:val="2"/>
          <w:sz w:val="32"/>
          <w:szCs w:val="32"/>
        </w:rPr>
        <w:t>年度报备工作的通知》（</w:t>
      </w:r>
      <w:r>
        <w:rPr>
          <w:rFonts w:hint="eastAsia" w:ascii="宋体" w:hAnsi="宋体" w:eastAsia="宋体" w:cs="Times New Roman"/>
          <w:color w:val="auto"/>
          <w:sz w:val="32"/>
          <w:szCs w:val="32"/>
        </w:rPr>
        <w:t>财办会〔</w:t>
      </w:r>
      <w:r>
        <w:rPr>
          <w:rFonts w:ascii="宋体" w:hAnsi="宋体" w:eastAsia="宋体" w:cs="Times New Roman"/>
          <w:color w:val="auto"/>
          <w:sz w:val="32"/>
          <w:szCs w:val="32"/>
        </w:rPr>
        <w:t>202</w:t>
      </w:r>
      <w:r>
        <w:rPr>
          <w:rFonts w:hint="eastAsia" w:ascii="宋体" w:hAnsi="宋体" w:eastAsia="宋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 w:cs="Times New Roman"/>
          <w:color w:val="auto"/>
          <w:sz w:val="32"/>
          <w:szCs w:val="32"/>
        </w:rPr>
        <w:t>〕</w:t>
      </w:r>
      <w:r>
        <w:rPr>
          <w:rFonts w:hint="eastAsia" w:ascii="宋体" w:hAnsi="宋体" w:eastAsia="宋体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Times New Roman"/>
          <w:color w:val="auto"/>
          <w:sz w:val="32"/>
          <w:szCs w:val="32"/>
        </w:rPr>
        <w:t>号）</w:t>
      </w:r>
      <w:r>
        <w:rPr>
          <w:rFonts w:ascii="宋体" w:hAnsi="宋体" w:eastAsia="宋体" w:cs="Times New Roman"/>
          <w:sz w:val="32"/>
          <w:szCs w:val="32"/>
        </w:rPr>
        <w:t>统一部署，</w:t>
      </w:r>
      <w:r>
        <w:rPr>
          <w:rFonts w:hint="eastAsia" w:ascii="宋体" w:hAnsi="宋体" w:eastAsia="宋体"/>
          <w:sz w:val="32"/>
          <w:szCs w:val="32"/>
        </w:rPr>
        <w:t>江西省会计师事务所202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/>
          <w:sz w:val="32"/>
          <w:szCs w:val="32"/>
        </w:rPr>
        <w:t>年度报备工作已经开始，</w:t>
      </w:r>
      <w:r>
        <w:rPr>
          <w:rFonts w:ascii="宋体" w:hAnsi="宋体" w:eastAsia="宋体" w:cs="Times New Roman"/>
          <w:sz w:val="32"/>
          <w:szCs w:val="32"/>
        </w:rPr>
        <w:t>为方便</w:t>
      </w:r>
      <w:r>
        <w:rPr>
          <w:rFonts w:hint="eastAsia" w:ascii="宋体" w:hAnsi="宋体" w:eastAsia="宋体" w:cs="Times New Roman"/>
          <w:sz w:val="32"/>
          <w:szCs w:val="32"/>
        </w:rPr>
        <w:t>我省</w:t>
      </w:r>
      <w:r>
        <w:rPr>
          <w:rFonts w:ascii="宋体" w:hAnsi="宋体" w:eastAsia="宋体" w:cs="Times New Roman"/>
          <w:sz w:val="32"/>
          <w:szCs w:val="32"/>
        </w:rPr>
        <w:t>会计师事务所及时做好报备工作，</w:t>
      </w:r>
      <w:r>
        <w:rPr>
          <w:rFonts w:hint="eastAsia" w:ascii="宋体" w:hAnsi="宋体" w:eastAsia="宋体" w:cs="Times New Roman"/>
          <w:sz w:val="32"/>
          <w:szCs w:val="32"/>
        </w:rPr>
        <w:t>做</w:t>
      </w:r>
      <w:r>
        <w:rPr>
          <w:rFonts w:ascii="宋体" w:hAnsi="宋体" w:eastAsia="宋体" w:cs="Times New Roman"/>
          <w:sz w:val="32"/>
          <w:szCs w:val="32"/>
        </w:rPr>
        <w:t>如下</w:t>
      </w:r>
      <w:r>
        <w:rPr>
          <w:rFonts w:hint="eastAsia" w:ascii="宋体" w:hAnsi="宋体" w:eastAsia="宋体" w:cs="Times New Roman"/>
          <w:sz w:val="32"/>
          <w:szCs w:val="32"/>
        </w:rPr>
        <w:t>指引图解</w:t>
      </w:r>
      <w:r>
        <w:rPr>
          <w:rFonts w:ascii="宋体" w:hAnsi="宋体" w:eastAsia="宋体" w:cs="Times New Roman"/>
          <w:sz w:val="32"/>
          <w:szCs w:val="32"/>
        </w:rPr>
        <w:t>，</w:t>
      </w:r>
      <w:r>
        <w:rPr>
          <w:rFonts w:hint="eastAsia" w:ascii="宋体" w:hAnsi="宋体" w:eastAsia="宋体" w:cs="Times New Roman"/>
          <w:sz w:val="32"/>
          <w:szCs w:val="32"/>
        </w:rPr>
        <w:t>供我省会计师事务所及分所年度报备时</w:t>
      </w:r>
      <w:r>
        <w:rPr>
          <w:rFonts w:ascii="宋体" w:hAnsi="宋体" w:eastAsia="宋体" w:cs="Times New Roman"/>
          <w:sz w:val="32"/>
          <w:szCs w:val="32"/>
        </w:rPr>
        <w:t>参考。</w:t>
      </w:r>
    </w:p>
    <w:p w14:paraId="2CE91CBB">
      <w:pPr>
        <w:widowControl/>
        <w:spacing w:before="100" w:beforeAutospacing="1" w:after="100" w:afterAutospacing="1"/>
        <w:outlineLvl w:val="3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一、报备时间与平台</w:t>
      </w:r>
    </w:p>
    <w:p w14:paraId="060001E3">
      <w:pPr>
        <w:widowControl/>
        <w:numPr>
          <w:ilvl w:val="0"/>
          <w:numId w:val="1"/>
        </w:numPr>
        <w:tabs>
          <w:tab w:val="left" w:pos="567"/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报备时间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：202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val="en-US" w:eastAsia="zh-CN"/>
        </w:rPr>
        <w:t>6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年3月15日至202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val="en-US" w:eastAsia="zh-CN"/>
        </w:rPr>
        <w:t>6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年5月31日。</w:t>
      </w:r>
    </w:p>
    <w:p w14:paraId="49550DAC">
      <w:pPr>
        <w:widowControl/>
        <w:numPr>
          <w:ilvl w:val="0"/>
          <w:numId w:val="1"/>
        </w:numPr>
        <w:tabs>
          <w:tab w:val="left" w:pos="284"/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报备平台：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注册会计师行业统一监管平台（acc.mof.gov.cn）。</w:t>
      </w:r>
    </w:p>
    <w:p w14:paraId="05546906">
      <w:pPr>
        <w:widowControl/>
        <w:spacing w:after="100" w:afterAutospacing="1" w:line="360" w:lineRule="auto"/>
        <w:ind w:left="284"/>
        <w:jc w:val="center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drawing>
          <wp:inline distT="0" distB="0" distL="0" distR="0">
            <wp:extent cx="4979670" cy="29190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t="3757" r="1577" b="5510"/>
                    <a:stretch>
                      <a:fillRect/>
                    </a:stretch>
                  </pic:blipFill>
                  <pic:spPr>
                    <a:xfrm>
                      <a:off x="0" y="0"/>
                      <a:ext cx="4986146" cy="2922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CC9D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宋体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登录账号：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会计师事务所用户账号（总所及分所需分别登录）。</w:t>
      </w:r>
    </w:p>
    <w:p w14:paraId="0BEB88A4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密码问题：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如遗忘密码，请联系技术支持（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010-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61965750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）或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江西省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财政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厅会计处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0791-87287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709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重置。</w:t>
      </w:r>
    </w:p>
    <w:p w14:paraId="65E5C3A8">
      <w:pPr>
        <w:widowControl/>
        <w:spacing w:before="100" w:beforeAutospacing="1" w:after="100" w:afterAutospacing="1"/>
        <w:jc w:val="left"/>
        <w:outlineLvl w:val="3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二、报备内容及要求</w:t>
      </w:r>
    </w:p>
    <w:p w14:paraId="3A8FFA32">
      <w:pPr>
        <w:widowControl/>
        <w:spacing w:before="100" w:beforeAutospacing="1" w:after="100" w:afterAutospacing="1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（一）会计师事务所总所报备内容</w:t>
      </w:r>
    </w:p>
    <w:p w14:paraId="59E37BA0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对本次报备情况的简要说明</w:t>
      </w:r>
    </w:p>
    <w:p w14:paraId="1CC766DC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对报备内容真实性、完整性的承诺</w:t>
      </w:r>
    </w:p>
    <w:p w14:paraId="0720CF68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会计师事务所内部管理制度的执行情况及变动情况的说明</w:t>
      </w:r>
    </w:p>
    <w:p w14:paraId="23045BBF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签章要求：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首席合伙人（主任会计师）签章，加盖会计师事务所公章。</w:t>
      </w:r>
    </w:p>
    <w:p w14:paraId="0AA0D424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持续符合会计师事务所执业许可条件相关信息</w:t>
      </w:r>
    </w:p>
    <w:p w14:paraId="27C990A7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  <w:t>“银行函证数字化工作开展情况”栏目，需按要求填写。</w:t>
      </w:r>
      <w:bookmarkStart w:id="0" w:name="_GoBack"/>
      <w:bookmarkEnd w:id="0"/>
    </w:p>
    <w:p w14:paraId="79DA9933">
      <w:pPr>
        <w:widowControl/>
        <w:spacing w:after="100" w:afterAutospacing="1" w:line="360" w:lineRule="auto"/>
        <w:jc w:val="center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drawing>
          <wp:inline distT="0" distB="0" distL="114300" distR="114300">
            <wp:extent cx="5861050" cy="2472690"/>
            <wp:effectExtent l="0" t="0" r="6350" b="11430"/>
            <wp:docPr id="3" name="图片 3" descr="e6fc19bb808e3844a7595a991dde0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fc19bb808e3844a7595a991dde01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2EFE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更新合伙人（股东）身份证号、执业证书编号等基础信息，确保与工商登记一致。</w:t>
      </w:r>
    </w:p>
    <w:p w14:paraId="72E6B62D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1660" cy="2694940"/>
            <wp:effectExtent l="0" t="0" r="7620" b="2540"/>
            <wp:docPr id="16" name="图片 16" descr="797782ccbe4eeba28bf667fd5c20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97782ccbe4eeba28bf667fd5c2094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DDA3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202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年度经营情况</w:t>
      </w:r>
    </w:p>
    <w:p w14:paraId="53688FAE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金额单位：万元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（注意金额合计勾稽关系，如业务收入合计应为各分项之和）。</w:t>
      </w:r>
    </w:p>
    <w:p w14:paraId="32333F2E">
      <w:pPr>
        <w:widowControl/>
        <w:spacing w:after="100" w:afterAutospacing="1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105" cy="2595880"/>
            <wp:effectExtent l="0" t="0" r="3175" b="10160"/>
            <wp:docPr id="17" name="图片 17" descr="3e89768776452c0cdd81919560d5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e89768776452c0cdd81919560d569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8221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公共部门服务表：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若客户含行政事业单位，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  <w:t>需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逐项逐行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  <w:t>完整填写《为公共部门提供专业服务情况表》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。</w:t>
      </w:r>
      <w:r>
        <w:rPr>
          <w:rFonts w:hint="eastAsia" w:ascii="宋体" w:hAnsi="宋体" w:eastAsia="宋体" w:cs="Segoe UI"/>
          <w:color w:val="0070C0"/>
          <w:kern w:val="0"/>
          <w:sz w:val="32"/>
          <w:szCs w:val="32"/>
        </w:rPr>
        <w:t>省财政厅将比对审计报告赋码报备情况进行核查。</w:t>
      </w:r>
    </w:p>
    <w:p w14:paraId="3D89F8D1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52770" cy="2694305"/>
            <wp:effectExtent l="0" t="0" r="1270" b="3175"/>
            <wp:docPr id="14" name="图片 14" descr="公共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共服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0613">
      <w:pPr>
        <w:widowControl/>
        <w:spacing w:after="100" w:afterAutospacing="1" w:line="360" w:lineRule="auto"/>
        <w:jc w:val="center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</w:p>
    <w:p w14:paraId="3040A94E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一体化管理情况</w:t>
      </w:r>
    </w:p>
    <w:p w14:paraId="0D0EAABD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填报“一体化管理自评报备”，并提交《一体化管理年度自评报告》。</w:t>
      </w:r>
    </w:p>
    <w:p w14:paraId="56063ED0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签章要求：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首席合伙人签章并加盖公章。</w:t>
      </w:r>
    </w:p>
    <w:p w14:paraId="0ACA46F9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4835" cy="2650490"/>
            <wp:effectExtent l="0" t="0" r="4445" b="1270"/>
            <wp:docPr id="13" name="图片 13" descr="一体化自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体化自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F02B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自查自纠情况</w:t>
      </w:r>
    </w:p>
    <w:p w14:paraId="27269980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执业质量相关内容可延至202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val="en-US" w:eastAsia="zh-CN"/>
        </w:rPr>
        <w:t>6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年8月31日前提交，其他内容需于2025年5月31日前完成。</w:t>
      </w:r>
    </w:p>
    <w:p w14:paraId="056987F1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提交《自查自纠报告》，需首席合伙人签章并加盖公章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。</w:t>
      </w:r>
    </w:p>
    <w:p w14:paraId="7424C671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7375" cy="2661920"/>
            <wp:effectExtent l="0" t="0" r="1905" b="5080"/>
            <wp:docPr id="11" name="图片 11" descr="执业质量报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执业质量报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D92F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1660" cy="2724150"/>
            <wp:effectExtent l="0" t="0" r="7620" b="3810"/>
            <wp:docPr id="12" name="图片 12" descr="其他信息报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其他信息报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9E47">
      <w:pPr>
        <w:widowControl/>
        <w:spacing w:after="100" w:afterAutospacing="1" w:line="360" w:lineRule="auto"/>
        <w:jc w:val="center"/>
        <w:rPr>
          <w:rFonts w:ascii="宋体" w:hAnsi="宋体" w:eastAsia="宋体" w:cs="Segoe UI"/>
          <w:color w:val="404040"/>
          <w:kern w:val="0"/>
          <w:sz w:val="32"/>
          <w:szCs w:val="32"/>
        </w:rPr>
      </w:pPr>
    </w:p>
    <w:p w14:paraId="5EC05BE3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国际业务等开展情况及境外设立分支机构情况</w:t>
      </w:r>
    </w:p>
    <w:p w14:paraId="42686009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“境外企业境外上市审计业务”模块，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</w:rPr>
        <w:t>有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相关业务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</w:rPr>
        <w:t>的事务所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需单独填报。</w:t>
      </w:r>
    </w:p>
    <w:p w14:paraId="4C4A71DF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52770" cy="2751455"/>
            <wp:effectExtent l="0" t="0" r="1270" b="6985"/>
            <wp:docPr id="10" name="图片 10" descr="境外业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境外业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6305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年度报备结束后新增的相关业务情况，也应及时在该模块中进行报备。</w:t>
      </w:r>
    </w:p>
    <w:p w14:paraId="0DFA44D1">
      <w:pPr>
        <w:jc w:val="center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drawing>
          <wp:inline distT="0" distB="0" distL="0" distR="0">
            <wp:extent cx="4726940" cy="32429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618" cy="32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9034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auto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auto"/>
          <w:kern w:val="0"/>
          <w:sz w:val="32"/>
          <w:szCs w:val="32"/>
        </w:rPr>
        <w:t>履行反洗钱和反恐怖融资义务情况</w:t>
      </w:r>
      <w:r>
        <w:rPr>
          <w:rFonts w:hint="eastAsia" w:ascii="宋体" w:hAnsi="宋体" w:eastAsia="宋体" w:cs="Segoe UI"/>
          <w:b/>
          <w:bCs/>
          <w:color w:val="auto"/>
          <w:kern w:val="0"/>
          <w:sz w:val="32"/>
          <w:szCs w:val="32"/>
          <w:lang w:val="en-US" w:eastAsia="zh-CN"/>
        </w:rPr>
        <w:t xml:space="preserve"> </w:t>
      </w:r>
    </w:p>
    <w:p w14:paraId="3A146324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会计师事务所如从事涉及《会计师事务所反洗钱工作管理办法》规定的应履行反洗钱反恐怖融资义务的特定业务，应勾选对应业务类型，并详细说明履行反洗钱反恐怖融资义务情况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  <w:lang w:eastAsia="zh-CN"/>
        </w:rPr>
        <w:t>）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。</w:t>
      </w:r>
    </w:p>
    <w:p w14:paraId="2A28F651">
      <w:pPr>
        <w:widowControl/>
        <w:numPr>
          <w:ilvl w:val="0"/>
          <w:numId w:val="0"/>
        </w:numPr>
        <w:spacing w:after="100" w:afterAutospacing="1" w:line="360" w:lineRule="auto"/>
        <w:ind w:left="284" w:leftChars="0"/>
        <w:jc w:val="left"/>
        <w:rPr>
          <w:rFonts w:ascii="宋体" w:hAnsi="宋体" w:eastAsia="宋体" w:cs="Segoe UI"/>
          <w:b/>
          <w:bCs/>
          <w:color w:val="auto"/>
          <w:kern w:val="0"/>
          <w:sz w:val="32"/>
          <w:szCs w:val="32"/>
        </w:rPr>
      </w:pPr>
    </w:p>
    <w:p w14:paraId="27F03D0C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4835" cy="2586990"/>
            <wp:effectExtent l="0" t="0" r="4445" b="3810"/>
            <wp:docPr id="9" name="图片 9" descr="反洗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反洗钱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4BB9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会计师事务所为公司公开发行股票提供服务相关信息备案情况</w:t>
      </w:r>
    </w:p>
    <w:p w14:paraId="529FA15A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none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“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</w:rPr>
        <w:t>会计师事务所为公司公开发行股票提供服务相关信息备案表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”模块，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</w:rPr>
        <w:t>有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相关业务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</w:rPr>
        <w:t>的事务所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需单独填报。</w:t>
      </w:r>
    </w:p>
    <w:p w14:paraId="43340F22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70550" cy="2611755"/>
            <wp:effectExtent l="0" t="0" r="13970" b="9525"/>
            <wp:docPr id="8" name="图片 8" descr="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发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3652">
      <w:pPr>
        <w:spacing w:line="62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p w14:paraId="41469C29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hint="eastAsia" w:ascii="宋体" w:hAnsi="宋体" w:eastAsia="宋体" w:cs="宋体"/>
          <w:b/>
          <w:bCs/>
          <w:color w:val="40404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yellow"/>
        </w:rPr>
        <w:t>新增2025年度被审计单位执行会计准则制度情况</w:t>
      </w:r>
    </w:p>
    <w:p w14:paraId="63E53003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69915" cy="2597785"/>
            <wp:effectExtent l="0" t="0" r="14605" b="8255"/>
            <wp:docPr id="4" name="图片 4" descr="新增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增准则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FA9A">
      <w:pPr>
        <w:widowControl/>
        <w:numPr>
          <w:ilvl w:val="0"/>
          <w:numId w:val="3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职业责任保险</w:t>
      </w:r>
    </w:p>
    <w:p w14:paraId="029AA9E9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若已投保，需上传保单复印件（保险期间需涵盖202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none"/>
          <w:lang w:val="en-US" w:eastAsia="zh-CN"/>
        </w:rPr>
        <w:t>5</w:t>
      </w:r>
      <w:r>
        <w:rPr>
          <w:rFonts w:ascii="宋体" w:hAnsi="宋体" w:eastAsia="宋体" w:cs="Segoe UI"/>
          <w:color w:val="404040"/>
          <w:kern w:val="0"/>
          <w:sz w:val="32"/>
          <w:szCs w:val="32"/>
          <w:highlight w:val="none"/>
        </w:rPr>
        <w:t>年1月1日至报备日）。</w:t>
      </w:r>
    </w:p>
    <w:p w14:paraId="715376C9">
      <w:pPr>
        <w:widowControl/>
        <w:spacing w:after="100" w:afterAutospacing="1" w:line="360" w:lineRule="auto"/>
        <w:jc w:val="center"/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eastAsia="zh-CN"/>
        </w:rPr>
        <w:drawing>
          <wp:inline distT="0" distB="0" distL="114300" distR="114300">
            <wp:extent cx="5655945" cy="2655570"/>
            <wp:effectExtent l="0" t="0" r="13335" b="11430"/>
            <wp:docPr id="6" name="图片 6" descr="职业责任保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业责任保险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0E4D">
      <w:pPr>
        <w:widowControl/>
        <w:spacing w:before="100" w:beforeAutospacing="1" w:after="100" w:afterAutospacing="1"/>
        <w:ind w:firstLine="643" w:firstLineChars="20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yellow"/>
        </w:rPr>
        <w:t>获准从事H股企业审计业务的会计师事务所应当报送2025年度从事H股企业审计业务的信息，并上传加盖会计师事务所印章、注册会计师签名签章的H股企业审计报告。</w:t>
      </w:r>
    </w:p>
    <w:p w14:paraId="0F59DD55">
      <w:pPr>
        <w:widowControl/>
        <w:spacing w:before="100" w:beforeAutospacing="1" w:after="100" w:afterAutospacing="1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（二）会计师事务所分所报备内容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（</w:t>
      </w:r>
      <w:r>
        <w:rPr>
          <w:rFonts w:hint="eastAsia" w:ascii="宋体" w:hAnsi="宋体" w:eastAsia="宋体" w:cs="Segoe UI"/>
          <w:b/>
          <w:bCs/>
          <w:color w:val="FF0000"/>
          <w:kern w:val="0"/>
          <w:sz w:val="22"/>
        </w:rPr>
        <w:t>相关事项可参考总所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）</w:t>
      </w:r>
    </w:p>
    <w:p w14:paraId="18045ED6">
      <w:pPr>
        <w:widowControl/>
        <w:numPr>
          <w:ilvl w:val="0"/>
          <w:numId w:val="4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简要说明</w:t>
      </w:r>
    </w:p>
    <w:p w14:paraId="058CAEA5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含对报备内容真实性、完整性的承诺，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要求</w:t>
      </w:r>
      <w:r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  <w:t>由会计师事务所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总所</w:t>
      </w:r>
      <w:r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  <w:t>首席合伙人（主任会计师）和分所负责人联合签章，并加盖会计师事务所及分所印章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）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。</w:t>
      </w:r>
    </w:p>
    <w:p w14:paraId="5098ECA0">
      <w:pPr>
        <w:widowControl/>
        <w:numPr>
          <w:ilvl w:val="0"/>
          <w:numId w:val="4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持续符合分所执业许可条件相关信息。</w:t>
      </w:r>
    </w:p>
    <w:p w14:paraId="15BA9D4E">
      <w:pPr>
        <w:widowControl/>
        <w:numPr>
          <w:ilvl w:val="0"/>
          <w:numId w:val="4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年度经营情况</w:t>
      </w:r>
      <w:r>
        <w:rPr>
          <w:rFonts w:hint="eastAsia" w:ascii="宋体" w:hAnsi="宋体" w:eastAsia="宋体" w:cs="Segoe UI"/>
          <w:kern w:val="0"/>
          <w:sz w:val="32"/>
          <w:szCs w:val="32"/>
        </w:rPr>
        <w:t>。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(请注意金额单位为万元)</w:t>
      </w:r>
    </w:p>
    <w:p w14:paraId="33317162">
      <w:pPr>
        <w:widowControl/>
        <w:numPr>
          <w:ilvl w:val="0"/>
          <w:numId w:val="4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一体化管理情况。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（一体化管理自评报备中填报）</w:t>
      </w:r>
    </w:p>
    <w:p w14:paraId="0AD79159">
      <w:pPr>
        <w:widowControl/>
        <w:numPr>
          <w:ilvl w:val="0"/>
          <w:numId w:val="4"/>
        </w:numPr>
        <w:tabs>
          <w:tab w:val="clear" w:pos="720"/>
        </w:tabs>
        <w:spacing w:after="100" w:afterAutospacing="1" w:line="360" w:lineRule="auto"/>
        <w:ind w:left="851" w:hanging="567"/>
        <w:jc w:val="left"/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202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  <w:lang w:val="en-US" w:eastAsia="zh-CN"/>
        </w:rPr>
        <w:t>5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  <w:highlight w:val="yellow"/>
        </w:rPr>
        <w:t>年度非涉密类审计报告出具数量、在注册会计师行业统一监管平台报备数量、未报备原因等。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（请注意填报数量勾稽关系是否正确）。</w:t>
      </w:r>
    </w:p>
    <w:p w14:paraId="73D2FCB9">
      <w:pPr>
        <w:widowControl/>
        <w:spacing w:before="100" w:beforeAutospacing="1" w:after="100" w:afterAutospacing="1"/>
        <w:jc w:val="left"/>
        <w:outlineLvl w:val="3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三、填报步骤</w:t>
      </w:r>
    </w:p>
    <w:p w14:paraId="00363EC8">
      <w:pPr>
        <w:widowControl/>
        <w:numPr>
          <w:ilvl w:val="0"/>
          <w:numId w:val="5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登录系统</w:t>
      </w:r>
    </w:p>
    <w:p w14:paraId="3C133A60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访问acc.mof.gov.cn，选择“会计师事务所用户”入口登录。</w:t>
      </w:r>
    </w:p>
    <w:p w14:paraId="48B345CC">
      <w:pPr>
        <w:widowControl/>
        <w:numPr>
          <w:ilvl w:val="0"/>
          <w:numId w:val="5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选择报备模块</w:t>
      </w:r>
    </w:p>
    <w:p w14:paraId="208991EE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总所：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进入“基本信息报备”→“事务所信息报备”“执业质量报备”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“其他信息报备”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“一体化管理自评报备”。</w:t>
      </w:r>
    </w:p>
    <w:p w14:paraId="5F830DE7">
      <w:pPr>
        <w:widowControl/>
        <w:spacing w:after="100" w:afterAutospacing="1" w:line="360" w:lineRule="auto"/>
        <w:ind w:left="851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drawing>
          <wp:inline distT="0" distB="0" distL="0" distR="0">
            <wp:extent cx="4927600" cy="33477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9474" cy="33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23BD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分所：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进入“基本信息报备”→“分所信息报备”。</w:t>
      </w:r>
    </w:p>
    <w:p w14:paraId="3E21218C">
      <w:pPr>
        <w:widowControl/>
        <w:spacing w:after="100" w:afterAutospacing="1" w:line="360" w:lineRule="auto"/>
        <w:jc w:val="center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drawing>
          <wp:inline distT="0" distB="0" distL="0" distR="0">
            <wp:extent cx="4784725" cy="26917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489" cy="27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E00D">
      <w:pPr>
        <w:widowControl/>
        <w:numPr>
          <w:ilvl w:val="0"/>
          <w:numId w:val="5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填报并上传材料</w:t>
      </w:r>
    </w:p>
    <w:p w14:paraId="5E3B3D1F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按系统提示逐项填写，确保数据准确。</w:t>
      </w:r>
    </w:p>
    <w:p w14:paraId="446A43C6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上传文件要求：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PDF格式，需加盖公章及签字（如自查自纠报告、保单复印件）。</w:t>
      </w:r>
    </w:p>
    <w:p w14:paraId="706B8CCE">
      <w:pPr>
        <w:widowControl/>
        <w:numPr>
          <w:ilvl w:val="0"/>
          <w:numId w:val="5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保存与提交</w:t>
      </w:r>
    </w:p>
    <w:p w14:paraId="6905B8A3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每项填报后点击“保存”，检查无误后点击“报备”提交。</w:t>
      </w:r>
    </w:p>
    <w:p w14:paraId="1B894485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注意：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提交后状态为“已送审”，需定期查看系统状态。若被退回，按提示修改后重新提交。</w:t>
      </w:r>
    </w:p>
    <w:p w14:paraId="03641634">
      <w:pPr>
        <w:widowControl/>
        <w:spacing w:before="100" w:beforeAutospacing="1" w:after="100" w:afterAutospacing="1"/>
        <w:jc w:val="left"/>
        <w:outlineLvl w:val="3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四、注意事项及常见错误</w:t>
      </w:r>
    </w:p>
    <w:p w14:paraId="31B46C55">
      <w:pPr>
        <w:widowControl/>
        <w:numPr>
          <w:ilvl w:val="0"/>
          <w:numId w:val="6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数据勾稽关系</w:t>
      </w:r>
    </w:p>
    <w:p w14:paraId="71ACCF7E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业务收入合计=审计业务收入+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税务业务收入+</w:t>
      </w: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咨询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业务</w:t>
      </w: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收入+其他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业务</w:t>
      </w: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收入。</w:t>
      </w:r>
    </w:p>
    <w:p w14:paraId="0DA11414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出具审计报告总数≥非涉密类报告数量</w:t>
      </w: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  <w:highlight w:val="yellow"/>
        </w:rPr>
        <w:t>，非涉密类审计报告出具数量应等于在本系统中报备数量。</w:t>
      </w:r>
    </w:p>
    <w:p w14:paraId="778C0E1E">
      <w:pPr>
        <w:widowControl/>
        <w:numPr>
          <w:ilvl w:val="0"/>
          <w:numId w:val="6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基础信息完整性</w:t>
      </w:r>
    </w:p>
    <w:p w14:paraId="53068058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合伙人（股东）身份证号、执业证书编号必填，与工商登记一致。</w:t>
      </w:r>
    </w:p>
    <w:p w14:paraId="3B769C17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</w:pP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报备业务联系电话一定要填写</w:t>
      </w:r>
      <w:r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  <w:t>手机号码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，</w:t>
      </w:r>
      <w:r>
        <w:rPr>
          <w:rFonts w:ascii="宋体" w:hAnsi="宋体" w:eastAsia="宋体" w:cs="Segoe UI"/>
          <w:color w:val="FF0000"/>
          <w:kern w:val="0"/>
          <w:sz w:val="32"/>
          <w:szCs w:val="32"/>
          <w:highlight w:val="yellow"/>
        </w:rPr>
        <w:t>确保通讯畅通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  <w:highlight w:val="yellow"/>
        </w:rPr>
        <w:t>，不要填座机电话！！！</w:t>
      </w:r>
    </w:p>
    <w:p w14:paraId="504EFC51">
      <w:pPr>
        <w:widowControl/>
        <w:numPr>
          <w:ilvl w:val="0"/>
          <w:numId w:val="6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</w:rPr>
        <w:t>金额单位与格式</w:t>
      </w:r>
    </w:p>
    <w:p w14:paraId="013280BA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所有金额单位为“万元”，避免误填为“元”。</w:t>
      </w:r>
    </w:p>
    <w:p w14:paraId="0981161F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金额保留两位小数，勾稽关系需通过系统自动校验。</w:t>
      </w:r>
    </w:p>
    <w:p w14:paraId="07D83BE9">
      <w:pPr>
        <w:widowControl/>
        <w:numPr>
          <w:ilvl w:val="0"/>
          <w:numId w:val="6"/>
        </w:numPr>
        <w:tabs>
          <w:tab w:val="clear" w:pos="720"/>
        </w:tabs>
        <w:spacing w:after="100" w:afterAutospacing="1" w:line="360" w:lineRule="auto"/>
        <w:ind w:left="851" w:hanging="491"/>
        <w:jc w:val="left"/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red"/>
        </w:rPr>
      </w:pPr>
      <w:r>
        <w:rPr>
          <w:rFonts w:ascii="宋体" w:hAnsi="宋体" w:eastAsia="宋体" w:cs="Segoe UI"/>
          <w:b/>
          <w:bCs/>
          <w:color w:val="404040"/>
          <w:kern w:val="0"/>
          <w:sz w:val="32"/>
          <w:szCs w:val="32"/>
          <w:highlight w:val="red"/>
        </w:rPr>
        <w:t>常见错误示例</w:t>
      </w:r>
    </w:p>
    <w:p w14:paraId="0D7F0076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未填写手机号码或填写座机号（需填手机号）。</w:t>
      </w:r>
    </w:p>
    <w:p w14:paraId="5C4165CA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金额单位错误（如误填为“元”）。</w:t>
      </w:r>
    </w:p>
    <w:p w14:paraId="53EAD5B1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合伙人信息与工商登记不一致（如身份证号缺失）。</w:t>
      </w:r>
    </w:p>
    <w:p w14:paraId="40054D48">
      <w:pPr>
        <w:pStyle w:val="7"/>
        <w:widowControl/>
        <w:numPr>
          <w:ilvl w:val="0"/>
          <w:numId w:val="2"/>
        </w:numPr>
        <w:spacing w:after="100" w:afterAutospacing="1" w:line="360" w:lineRule="auto"/>
        <w:ind w:left="1276" w:hanging="425" w:firstLineChars="0"/>
        <w:jc w:val="left"/>
        <w:rPr>
          <w:rFonts w:ascii="宋体" w:hAnsi="宋体" w:eastAsia="宋体" w:cs="Segoe UI"/>
          <w:color w:val="404040"/>
          <w:kern w:val="0"/>
          <w:sz w:val="32"/>
          <w:szCs w:val="32"/>
        </w:rPr>
      </w:pP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报告数量总数小于其中分类数量</w:t>
      </w:r>
    </w:p>
    <w:p w14:paraId="22E3C2C2">
      <w:pPr>
        <w:widowControl/>
        <w:spacing w:before="100" w:beforeAutospacing="1" w:after="100" w:afterAutospacing="1"/>
        <w:jc w:val="left"/>
        <w:rPr>
          <w:rFonts w:ascii="宋体" w:hAnsi="宋体" w:eastAsia="宋体"/>
          <w:b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color w:val="FF0000"/>
          <w:sz w:val="32"/>
          <w:szCs w:val="32"/>
        </w:rPr>
        <w:t>报备信息</w:t>
      </w:r>
      <w:r>
        <w:rPr>
          <w:rFonts w:ascii="宋体" w:hAnsi="宋体" w:eastAsia="宋体"/>
          <w:b/>
          <w:color w:val="FF0000"/>
          <w:sz w:val="32"/>
          <w:szCs w:val="32"/>
        </w:rPr>
        <w:t>提交后，系统显示为已送审，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请</w:t>
      </w:r>
      <w:r>
        <w:rPr>
          <w:rFonts w:ascii="宋体" w:hAnsi="宋体" w:eastAsia="宋体"/>
          <w:b/>
          <w:color w:val="FF0000"/>
          <w:sz w:val="32"/>
          <w:szCs w:val="32"/>
        </w:rPr>
        <w:t>各会计师事务所及分所及时关注系统状态。如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系统状态变更</w:t>
      </w:r>
      <w:r>
        <w:rPr>
          <w:rFonts w:ascii="宋体" w:hAnsi="宋体" w:eastAsia="宋体"/>
          <w:b/>
          <w:color w:val="FF0000"/>
          <w:sz w:val="32"/>
          <w:szCs w:val="32"/>
        </w:rPr>
        <w:t>为已报备，则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报备</w:t>
      </w:r>
      <w:r>
        <w:rPr>
          <w:rFonts w:ascii="宋体" w:hAnsi="宋体" w:eastAsia="宋体"/>
          <w:b/>
          <w:color w:val="FF0000"/>
          <w:sz w:val="32"/>
          <w:szCs w:val="32"/>
        </w:rPr>
        <w:t>完成。如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报备信息</w:t>
      </w:r>
      <w:r>
        <w:rPr>
          <w:rFonts w:ascii="宋体" w:hAnsi="宋体" w:eastAsia="宋体"/>
          <w:b/>
          <w:color w:val="FF0000"/>
          <w:sz w:val="32"/>
          <w:szCs w:val="32"/>
        </w:rPr>
        <w:t>被退回，请查看退回原因，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及时</w:t>
      </w:r>
      <w:r>
        <w:rPr>
          <w:rFonts w:ascii="宋体" w:hAnsi="宋体" w:eastAsia="宋体"/>
          <w:b/>
          <w:color w:val="FF0000"/>
          <w:sz w:val="32"/>
          <w:szCs w:val="32"/>
        </w:rPr>
        <w:t>修改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并</w:t>
      </w:r>
      <w:r>
        <w:rPr>
          <w:rFonts w:ascii="宋体" w:hAnsi="宋体" w:eastAsia="宋体"/>
          <w:b/>
          <w:color w:val="FF0000"/>
          <w:sz w:val="32"/>
          <w:szCs w:val="32"/>
        </w:rPr>
        <w:t>重新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报送</w:t>
      </w:r>
      <w:r>
        <w:rPr>
          <w:rFonts w:ascii="宋体" w:hAnsi="宋体" w:eastAsia="宋体"/>
          <w:b/>
          <w:color w:val="FF0000"/>
          <w:sz w:val="32"/>
          <w:szCs w:val="32"/>
        </w:rPr>
        <w:t>。报备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工作</w:t>
      </w:r>
      <w:r>
        <w:rPr>
          <w:rFonts w:ascii="宋体" w:hAnsi="宋体" w:eastAsia="宋体"/>
          <w:b/>
          <w:color w:val="FF0000"/>
          <w:sz w:val="32"/>
          <w:szCs w:val="32"/>
        </w:rPr>
        <w:t>中如遇到问题，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可</w:t>
      </w:r>
      <w:r>
        <w:rPr>
          <w:rFonts w:ascii="宋体" w:hAnsi="宋体" w:eastAsia="宋体"/>
          <w:b/>
          <w:color w:val="FF0000"/>
          <w:sz w:val="32"/>
          <w:szCs w:val="32"/>
        </w:rPr>
        <w:t>拨打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咨询</w:t>
      </w:r>
      <w:r>
        <w:rPr>
          <w:rFonts w:ascii="宋体" w:hAnsi="宋体" w:eastAsia="宋体"/>
          <w:b/>
          <w:color w:val="FF0000"/>
          <w:sz w:val="32"/>
          <w:szCs w:val="32"/>
        </w:rPr>
        <w:t>电话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：0791-87287</w:t>
      </w:r>
      <w:r>
        <w:rPr>
          <w:rFonts w:hint="eastAsia" w:ascii="宋体" w:hAnsi="宋体" w:eastAsia="宋体"/>
          <w:b/>
          <w:color w:val="FF0000"/>
          <w:sz w:val="32"/>
          <w:szCs w:val="32"/>
          <w:lang w:val="en-US" w:eastAsia="zh-CN"/>
        </w:rPr>
        <w:t>709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，技术支持电话：010-</w:t>
      </w:r>
      <w:r>
        <w:rPr>
          <w:rFonts w:hint="eastAsia" w:ascii="宋体" w:hAnsi="宋体" w:eastAsia="宋体"/>
          <w:b/>
          <w:color w:val="FF0000"/>
          <w:sz w:val="32"/>
          <w:szCs w:val="32"/>
          <w:lang w:val="en-US" w:eastAsia="zh-CN"/>
        </w:rPr>
        <w:t>61965750</w:t>
      </w:r>
      <w:r>
        <w:rPr>
          <w:rFonts w:hint="eastAsia" w:ascii="宋体" w:hAnsi="宋体" w:eastAsia="宋体"/>
          <w:b/>
          <w:color w:val="FF0000"/>
          <w:sz w:val="32"/>
          <w:szCs w:val="32"/>
        </w:rPr>
        <w:t>。</w:t>
      </w:r>
    </w:p>
    <w:p w14:paraId="1DB61ED3">
      <w:pPr>
        <w:widowControl/>
        <w:spacing w:before="100" w:beforeAutospacing="1" w:after="100" w:afterAutospacing="1" w:line="360" w:lineRule="auto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 w:cs="Segoe UI"/>
          <w:b/>
          <w:bCs/>
          <w:color w:val="404040"/>
          <w:kern w:val="0"/>
          <w:sz w:val="32"/>
          <w:szCs w:val="32"/>
        </w:rPr>
        <w:t>特别提醒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：</w:t>
      </w:r>
      <w:r>
        <w:rPr>
          <w:rFonts w:hint="eastAsia" w:ascii="宋体" w:hAnsi="宋体" w:eastAsia="宋体"/>
          <w:sz w:val="32"/>
          <w:szCs w:val="32"/>
        </w:rPr>
        <w:t>会计师事务所（分所）提交报备材料，应重点关注以下</w:t>
      </w:r>
      <w:r>
        <w:rPr>
          <w:rFonts w:ascii="宋体" w:hAnsi="宋体" w:eastAsia="宋体"/>
          <w:sz w:val="32"/>
          <w:szCs w:val="32"/>
        </w:rPr>
        <w:t>几点</w:t>
      </w:r>
      <w:r>
        <w:rPr>
          <w:rFonts w:hint="eastAsia" w:ascii="宋体" w:hAnsi="宋体" w:eastAsia="宋体"/>
          <w:sz w:val="32"/>
          <w:szCs w:val="32"/>
        </w:rPr>
        <w:t>：相关信息是否完整，特别是合伙人（股东）的身份证号等基础信息；</w:t>
      </w:r>
      <w:r>
        <w:rPr>
          <w:rFonts w:hint="eastAsia" w:ascii="宋体" w:hAnsi="宋体" w:eastAsia="宋体"/>
          <w:color w:val="FF0000"/>
          <w:sz w:val="32"/>
          <w:szCs w:val="32"/>
        </w:rPr>
        <w:t>会计师事务所（分所）填写的上年审计业务收入、出具审计（鉴证）报告数量是否与审计报告验证码信息报备相关数据相符</w:t>
      </w:r>
      <w:r>
        <w:rPr>
          <w:rFonts w:hint="eastAsia" w:ascii="宋体" w:hAnsi="宋体" w:eastAsia="宋体"/>
          <w:sz w:val="32"/>
          <w:szCs w:val="32"/>
        </w:rPr>
        <w:t>；会计师事务所报备信息和工商登记信息是否一致；自查自纠报告是否与行政处罚、行业惩戒记录相符；</w:t>
      </w:r>
      <w:r>
        <w:rPr>
          <w:rFonts w:ascii="宋体" w:hAnsi="宋体" w:eastAsia="宋体"/>
          <w:sz w:val="32"/>
          <w:szCs w:val="32"/>
        </w:rPr>
        <w:t>及时更新报备业务联系</w:t>
      </w:r>
      <w:r>
        <w:rPr>
          <w:rFonts w:hint="eastAsia" w:ascii="宋体" w:hAnsi="宋体" w:eastAsia="宋体"/>
          <w:sz w:val="32"/>
          <w:szCs w:val="32"/>
        </w:rPr>
        <w:t>电话等。</w:t>
      </w:r>
    </w:p>
    <w:p w14:paraId="082BA10C">
      <w:pPr>
        <w:widowControl/>
        <w:spacing w:before="100" w:beforeAutospacing="1" w:after="100" w:afterAutospacing="1" w:line="360" w:lineRule="auto"/>
        <w:ind w:firstLine="643" w:firstLineChars="200"/>
        <w:jc w:val="left"/>
        <w:rPr>
          <w:rFonts w:ascii="宋体" w:hAnsi="宋体" w:eastAsia="宋体" w:cs="Segoe UI"/>
          <w:color w:val="FF0000"/>
          <w:kern w:val="0"/>
          <w:sz w:val="32"/>
          <w:szCs w:val="32"/>
        </w:rPr>
      </w:pPr>
      <w:r>
        <w:rPr>
          <w:rFonts w:hint="eastAsia" w:ascii="宋体" w:hAnsi="宋体" w:eastAsia="宋体"/>
          <w:b/>
          <w:color w:val="FF0000"/>
          <w:sz w:val="32"/>
          <w:szCs w:val="32"/>
        </w:rPr>
        <w:t>报备联系人联系电话请填写手机号码。</w:t>
      </w:r>
      <w:r>
        <w:rPr>
          <w:rFonts w:hint="eastAsia" w:ascii="宋体" w:hAnsi="宋体" w:eastAsia="宋体" w:cs="Segoe UI"/>
          <w:color w:val="404040"/>
          <w:kern w:val="0"/>
          <w:sz w:val="32"/>
          <w:szCs w:val="32"/>
        </w:rPr>
        <w:t>报备期间，报备业务联系人请保持通讯畅通，</w:t>
      </w:r>
      <w:r>
        <w:rPr>
          <w:rFonts w:ascii="宋体" w:hAnsi="宋体" w:eastAsia="宋体" w:cs="Segoe UI"/>
          <w:color w:val="404040"/>
          <w:kern w:val="0"/>
          <w:sz w:val="32"/>
          <w:szCs w:val="32"/>
        </w:rPr>
        <w:t>及时关注系统状态更新。填报前务必核对数据勾稽关系，避免因错误退回影响进度。</w:t>
      </w:r>
      <w:r>
        <w:rPr>
          <w:rFonts w:hint="eastAsia" w:ascii="宋体" w:hAnsi="宋体" w:eastAsia="宋体" w:cs="Segoe UI"/>
          <w:color w:val="FF0000"/>
          <w:kern w:val="0"/>
          <w:sz w:val="32"/>
          <w:szCs w:val="32"/>
        </w:rPr>
        <w:t>各单位不得在注册会计师行业统一监管平台上传、处理、传输标注密级的文件资料。</w:t>
      </w:r>
    </w:p>
    <w:sectPr>
      <w:footerReference r:id="rId3" w:type="default"/>
      <w:pgSz w:w="11906" w:h="16838"/>
      <w:pgMar w:top="1440" w:right="1416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8080F95D">
    <w:panose1 w:val="020B0503020204020204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B97FF">
    <w:pPr>
      <w:pStyle w:val="2"/>
      <w:jc w:val="center"/>
      <w:rPr>
        <w:rFonts w:ascii="宋体" w:hAnsi="宋体" w:eastAsia="宋体"/>
        <w:sz w:val="24"/>
        <w:szCs w:val="24"/>
      </w:rPr>
    </w:pPr>
    <w:r>
      <w:rPr>
        <w:rFonts w:hint="eastAsia" w:ascii="宋体" w:hAnsi="宋体" w:eastAsia="宋体"/>
        <w:sz w:val="24"/>
        <w:szCs w:val="24"/>
      </w:rPr>
      <w:t>第</w:t>
    </w:r>
    <w:r>
      <w:rPr>
        <w:rFonts w:ascii="宋体" w:hAnsi="宋体" w:eastAsia="宋体"/>
        <w:sz w:val="24"/>
        <w:szCs w:val="24"/>
      </w:rPr>
      <w:fldChar w:fldCharType="begin"/>
    </w:r>
    <w:r>
      <w:rPr>
        <w:rFonts w:ascii="宋体" w:hAnsi="宋体" w:eastAsia="宋体"/>
        <w:sz w:val="24"/>
        <w:szCs w:val="24"/>
      </w:rPr>
      <w:instrText xml:space="preserve">PAGE   \* MERGEFORMAT</w:instrText>
    </w:r>
    <w:r>
      <w:rPr>
        <w:rFonts w:ascii="宋体" w:hAnsi="宋体" w:eastAsia="宋体"/>
        <w:sz w:val="24"/>
        <w:szCs w:val="24"/>
      </w:rPr>
      <w:fldChar w:fldCharType="separate"/>
    </w:r>
    <w:r>
      <w:rPr>
        <w:rFonts w:ascii="宋体" w:hAnsi="宋体" w:eastAsia="宋体"/>
        <w:sz w:val="24"/>
        <w:szCs w:val="24"/>
        <w:lang w:val="zh-CN"/>
      </w:rPr>
      <w:t>2</w:t>
    </w:r>
    <w:r>
      <w:rPr>
        <w:rFonts w:ascii="宋体" w:hAnsi="宋体" w:eastAsia="宋体"/>
        <w:sz w:val="24"/>
        <w:szCs w:val="24"/>
      </w:rPr>
      <w:fldChar w:fldCharType="end"/>
    </w:r>
    <w:r>
      <w:rPr>
        <w:rFonts w:hint="eastAsia" w:ascii="宋体" w:hAnsi="宋体" w:eastAsia="宋体"/>
        <w:sz w:val="24"/>
        <w:szCs w:val="24"/>
      </w:rPr>
      <w:t>页</w:t>
    </w:r>
    <w:r>
      <w:rPr>
        <w:rFonts w:ascii="宋体" w:hAnsi="宋体" w:eastAsia="宋体"/>
        <w:sz w:val="24"/>
        <w:szCs w:val="24"/>
      </w:rPr>
      <w:t>/</w:t>
    </w:r>
    <w:r>
      <w:rPr>
        <w:rFonts w:hint="eastAsia" w:ascii="宋体" w:hAnsi="宋体" w:eastAsia="宋体"/>
        <w:sz w:val="24"/>
        <w:szCs w:val="24"/>
      </w:rPr>
      <w:t>共</w:t>
    </w:r>
    <w:r>
      <w:rPr>
        <w:rFonts w:ascii="宋体" w:hAnsi="宋体" w:eastAsia="宋体"/>
        <w:sz w:val="24"/>
        <w:szCs w:val="24"/>
      </w:rPr>
      <w:fldChar w:fldCharType="begin"/>
    </w:r>
    <w:r>
      <w:rPr>
        <w:rFonts w:ascii="宋体" w:hAnsi="宋体" w:eastAsia="宋体"/>
        <w:sz w:val="24"/>
        <w:szCs w:val="24"/>
      </w:rPr>
      <w:instrText xml:space="preserve"> </w:instrText>
    </w:r>
    <w:r>
      <w:rPr>
        <w:rFonts w:hint="eastAsia" w:ascii="宋体" w:hAnsi="宋体" w:eastAsia="宋体"/>
        <w:sz w:val="24"/>
        <w:szCs w:val="24"/>
      </w:rPr>
      <w:instrText xml:space="preserve">NUMPAGES   \* MERGEFORMAT</w:instrText>
    </w:r>
    <w:r>
      <w:rPr>
        <w:rFonts w:ascii="宋体" w:hAnsi="宋体" w:eastAsia="宋体"/>
        <w:sz w:val="24"/>
        <w:szCs w:val="24"/>
      </w:rPr>
      <w:instrText xml:space="preserve"> </w:instrText>
    </w:r>
    <w:r>
      <w:rPr>
        <w:rFonts w:ascii="宋体" w:hAnsi="宋体" w:eastAsia="宋体"/>
        <w:sz w:val="24"/>
        <w:szCs w:val="24"/>
      </w:rPr>
      <w:fldChar w:fldCharType="separate"/>
    </w:r>
    <w:r>
      <w:rPr>
        <w:rFonts w:ascii="宋体" w:hAnsi="宋体" w:eastAsia="宋体"/>
        <w:sz w:val="24"/>
        <w:szCs w:val="24"/>
      </w:rPr>
      <w:t>15</w:t>
    </w:r>
    <w:r>
      <w:rPr>
        <w:rFonts w:ascii="宋体" w:hAnsi="宋体" w:eastAsia="宋体"/>
        <w:sz w:val="24"/>
        <w:szCs w:val="24"/>
      </w:rPr>
      <w:fldChar w:fldCharType="end"/>
    </w:r>
    <w:r>
      <w:rPr>
        <w:rFonts w:hint="eastAsia" w:ascii="宋体" w:hAnsi="宋体" w:eastAsia="宋体"/>
        <w:sz w:val="24"/>
        <w:szCs w:val="24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5F53DA"/>
    <w:multiLevelType w:val="multilevel"/>
    <w:tmpl w:val="475F53D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E214FBC"/>
    <w:multiLevelType w:val="multilevel"/>
    <w:tmpl w:val="5E214FB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6BEA4692"/>
    <w:multiLevelType w:val="multilevel"/>
    <w:tmpl w:val="6BEA4692"/>
    <w:lvl w:ilvl="0" w:tentative="0">
      <w:start w:val="1"/>
      <w:numFmt w:val="bullet"/>
      <w:lvlText w:val=""/>
      <w:lvlJc w:val="left"/>
      <w:pPr>
        <w:ind w:left="18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2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7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1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5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9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3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8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220" w:hanging="420"/>
      </w:pPr>
      <w:rPr>
        <w:rFonts w:hint="default" w:ascii="Wingdings" w:hAnsi="Wingdings"/>
      </w:rPr>
    </w:lvl>
  </w:abstractNum>
  <w:abstractNum w:abstractNumId="3">
    <w:nsid w:val="6F9F06AF"/>
    <w:multiLevelType w:val="multilevel"/>
    <w:tmpl w:val="6F9F06A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74A1187B"/>
    <w:multiLevelType w:val="multilevel"/>
    <w:tmpl w:val="74A1187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AE60A85"/>
    <w:multiLevelType w:val="multilevel"/>
    <w:tmpl w:val="7AE60A8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381"/>
    <w:rsid w:val="00026618"/>
    <w:rsid w:val="00033BCE"/>
    <w:rsid w:val="000349D7"/>
    <w:rsid w:val="0004020A"/>
    <w:rsid w:val="00046542"/>
    <w:rsid w:val="000551E4"/>
    <w:rsid w:val="000622C9"/>
    <w:rsid w:val="00072D7B"/>
    <w:rsid w:val="000818F3"/>
    <w:rsid w:val="000851DF"/>
    <w:rsid w:val="00087856"/>
    <w:rsid w:val="00087F23"/>
    <w:rsid w:val="000A06CE"/>
    <w:rsid w:val="000E2A48"/>
    <w:rsid w:val="000F0206"/>
    <w:rsid w:val="000F123D"/>
    <w:rsid w:val="00105032"/>
    <w:rsid w:val="001113AF"/>
    <w:rsid w:val="00130E0D"/>
    <w:rsid w:val="00137E96"/>
    <w:rsid w:val="00143DA4"/>
    <w:rsid w:val="001708B2"/>
    <w:rsid w:val="0017292B"/>
    <w:rsid w:val="00174F2A"/>
    <w:rsid w:val="00182612"/>
    <w:rsid w:val="00190CC9"/>
    <w:rsid w:val="0019742A"/>
    <w:rsid w:val="001D1D17"/>
    <w:rsid w:val="001D3726"/>
    <w:rsid w:val="001F367B"/>
    <w:rsid w:val="001F7251"/>
    <w:rsid w:val="002077D8"/>
    <w:rsid w:val="002262FB"/>
    <w:rsid w:val="00226F50"/>
    <w:rsid w:val="002409A7"/>
    <w:rsid w:val="00241A42"/>
    <w:rsid w:val="00247012"/>
    <w:rsid w:val="0025608D"/>
    <w:rsid w:val="00277391"/>
    <w:rsid w:val="00292234"/>
    <w:rsid w:val="002949A6"/>
    <w:rsid w:val="002A7334"/>
    <w:rsid w:val="002B202A"/>
    <w:rsid w:val="002E2150"/>
    <w:rsid w:val="003049A5"/>
    <w:rsid w:val="003269C1"/>
    <w:rsid w:val="0032746F"/>
    <w:rsid w:val="003363F2"/>
    <w:rsid w:val="0035564E"/>
    <w:rsid w:val="00355CEE"/>
    <w:rsid w:val="0035709F"/>
    <w:rsid w:val="00382172"/>
    <w:rsid w:val="003867E0"/>
    <w:rsid w:val="00393A44"/>
    <w:rsid w:val="003944BA"/>
    <w:rsid w:val="003C1A98"/>
    <w:rsid w:val="003E0B68"/>
    <w:rsid w:val="003F0881"/>
    <w:rsid w:val="003F4192"/>
    <w:rsid w:val="004013DB"/>
    <w:rsid w:val="00405745"/>
    <w:rsid w:val="0044124B"/>
    <w:rsid w:val="0045248E"/>
    <w:rsid w:val="00453760"/>
    <w:rsid w:val="00457F18"/>
    <w:rsid w:val="0047699A"/>
    <w:rsid w:val="004A595D"/>
    <w:rsid w:val="004D25AB"/>
    <w:rsid w:val="004E613F"/>
    <w:rsid w:val="004F0570"/>
    <w:rsid w:val="00501D7C"/>
    <w:rsid w:val="00510F67"/>
    <w:rsid w:val="00515216"/>
    <w:rsid w:val="00521361"/>
    <w:rsid w:val="00526FB9"/>
    <w:rsid w:val="005319BA"/>
    <w:rsid w:val="00542C62"/>
    <w:rsid w:val="0054470F"/>
    <w:rsid w:val="00554ED3"/>
    <w:rsid w:val="00565D6B"/>
    <w:rsid w:val="00571143"/>
    <w:rsid w:val="00571535"/>
    <w:rsid w:val="00571B6D"/>
    <w:rsid w:val="00573FCF"/>
    <w:rsid w:val="005770C0"/>
    <w:rsid w:val="00591449"/>
    <w:rsid w:val="005A61AC"/>
    <w:rsid w:val="005B26A6"/>
    <w:rsid w:val="005B61F9"/>
    <w:rsid w:val="005C273F"/>
    <w:rsid w:val="005F19FE"/>
    <w:rsid w:val="00601633"/>
    <w:rsid w:val="006024A3"/>
    <w:rsid w:val="00602904"/>
    <w:rsid w:val="00604828"/>
    <w:rsid w:val="006078F7"/>
    <w:rsid w:val="0061021C"/>
    <w:rsid w:val="00615594"/>
    <w:rsid w:val="0062078C"/>
    <w:rsid w:val="00645B41"/>
    <w:rsid w:val="006508C9"/>
    <w:rsid w:val="0068107A"/>
    <w:rsid w:val="0069039E"/>
    <w:rsid w:val="00694E8E"/>
    <w:rsid w:val="006977BA"/>
    <w:rsid w:val="006B3FB0"/>
    <w:rsid w:val="006B4699"/>
    <w:rsid w:val="006E40E5"/>
    <w:rsid w:val="006F3B6B"/>
    <w:rsid w:val="006F4D09"/>
    <w:rsid w:val="00711A31"/>
    <w:rsid w:val="00716489"/>
    <w:rsid w:val="00716E7F"/>
    <w:rsid w:val="00717381"/>
    <w:rsid w:val="00740DFF"/>
    <w:rsid w:val="00757D7F"/>
    <w:rsid w:val="00761931"/>
    <w:rsid w:val="00774D7D"/>
    <w:rsid w:val="00781D23"/>
    <w:rsid w:val="0079339F"/>
    <w:rsid w:val="007A3F59"/>
    <w:rsid w:val="007B16D1"/>
    <w:rsid w:val="007D1139"/>
    <w:rsid w:val="007F1DD5"/>
    <w:rsid w:val="007F6354"/>
    <w:rsid w:val="0080389A"/>
    <w:rsid w:val="00810048"/>
    <w:rsid w:val="00826C54"/>
    <w:rsid w:val="0083143B"/>
    <w:rsid w:val="008344B5"/>
    <w:rsid w:val="00843B84"/>
    <w:rsid w:val="0084503C"/>
    <w:rsid w:val="00852D55"/>
    <w:rsid w:val="00866902"/>
    <w:rsid w:val="00897F95"/>
    <w:rsid w:val="008A6816"/>
    <w:rsid w:val="008B240B"/>
    <w:rsid w:val="008C26B5"/>
    <w:rsid w:val="008D2C96"/>
    <w:rsid w:val="00901022"/>
    <w:rsid w:val="00915131"/>
    <w:rsid w:val="00925D4A"/>
    <w:rsid w:val="00941ECE"/>
    <w:rsid w:val="0094637F"/>
    <w:rsid w:val="00947843"/>
    <w:rsid w:val="00955A8E"/>
    <w:rsid w:val="00964A0A"/>
    <w:rsid w:val="009734C7"/>
    <w:rsid w:val="00981C17"/>
    <w:rsid w:val="009B6F91"/>
    <w:rsid w:val="009D39C7"/>
    <w:rsid w:val="009E34C2"/>
    <w:rsid w:val="009E6013"/>
    <w:rsid w:val="009F0FD8"/>
    <w:rsid w:val="00A03F76"/>
    <w:rsid w:val="00A06B66"/>
    <w:rsid w:val="00A125F2"/>
    <w:rsid w:val="00A133B5"/>
    <w:rsid w:val="00A167AD"/>
    <w:rsid w:val="00A34AAA"/>
    <w:rsid w:val="00A37BC7"/>
    <w:rsid w:val="00A427B8"/>
    <w:rsid w:val="00A512C9"/>
    <w:rsid w:val="00A669C8"/>
    <w:rsid w:val="00A828C0"/>
    <w:rsid w:val="00A86876"/>
    <w:rsid w:val="00A90FD6"/>
    <w:rsid w:val="00A9238A"/>
    <w:rsid w:val="00AA22F6"/>
    <w:rsid w:val="00AB5380"/>
    <w:rsid w:val="00AB54B5"/>
    <w:rsid w:val="00AD6CF5"/>
    <w:rsid w:val="00AE3870"/>
    <w:rsid w:val="00B00315"/>
    <w:rsid w:val="00B029FE"/>
    <w:rsid w:val="00B2527E"/>
    <w:rsid w:val="00B36D4F"/>
    <w:rsid w:val="00B40B5E"/>
    <w:rsid w:val="00B47B87"/>
    <w:rsid w:val="00B710FC"/>
    <w:rsid w:val="00B97A53"/>
    <w:rsid w:val="00BB62A5"/>
    <w:rsid w:val="00BC7D1E"/>
    <w:rsid w:val="00BD5191"/>
    <w:rsid w:val="00BE28EE"/>
    <w:rsid w:val="00BE5EC0"/>
    <w:rsid w:val="00C029F3"/>
    <w:rsid w:val="00C27277"/>
    <w:rsid w:val="00C36C2E"/>
    <w:rsid w:val="00C6089F"/>
    <w:rsid w:val="00C62BAA"/>
    <w:rsid w:val="00C73E25"/>
    <w:rsid w:val="00C93FDA"/>
    <w:rsid w:val="00CA06E7"/>
    <w:rsid w:val="00CA5468"/>
    <w:rsid w:val="00CC0804"/>
    <w:rsid w:val="00CC29E5"/>
    <w:rsid w:val="00CC76A2"/>
    <w:rsid w:val="00CD2FAD"/>
    <w:rsid w:val="00CE18AD"/>
    <w:rsid w:val="00CE428B"/>
    <w:rsid w:val="00CF2025"/>
    <w:rsid w:val="00D0784E"/>
    <w:rsid w:val="00D07D99"/>
    <w:rsid w:val="00D51A88"/>
    <w:rsid w:val="00D52D65"/>
    <w:rsid w:val="00D824EA"/>
    <w:rsid w:val="00DA0832"/>
    <w:rsid w:val="00DA5CAB"/>
    <w:rsid w:val="00DB1884"/>
    <w:rsid w:val="00DB37D9"/>
    <w:rsid w:val="00DB5D2C"/>
    <w:rsid w:val="00DB7981"/>
    <w:rsid w:val="00DC0BD3"/>
    <w:rsid w:val="00DC4C1A"/>
    <w:rsid w:val="00DC5FDF"/>
    <w:rsid w:val="00DD0916"/>
    <w:rsid w:val="00DD43B2"/>
    <w:rsid w:val="00DF17D0"/>
    <w:rsid w:val="00E0098F"/>
    <w:rsid w:val="00E02EBE"/>
    <w:rsid w:val="00E233C7"/>
    <w:rsid w:val="00E35D58"/>
    <w:rsid w:val="00E42639"/>
    <w:rsid w:val="00E4279C"/>
    <w:rsid w:val="00E45DEE"/>
    <w:rsid w:val="00E54D4A"/>
    <w:rsid w:val="00E64B86"/>
    <w:rsid w:val="00E7502D"/>
    <w:rsid w:val="00E751AA"/>
    <w:rsid w:val="00EA4396"/>
    <w:rsid w:val="00EB09AC"/>
    <w:rsid w:val="00EB1C8E"/>
    <w:rsid w:val="00EC12FB"/>
    <w:rsid w:val="00EC3B53"/>
    <w:rsid w:val="00ED2E97"/>
    <w:rsid w:val="00ED7561"/>
    <w:rsid w:val="00F130A1"/>
    <w:rsid w:val="00F25F85"/>
    <w:rsid w:val="00F30E96"/>
    <w:rsid w:val="00F46A6A"/>
    <w:rsid w:val="00F52964"/>
    <w:rsid w:val="00F5726E"/>
    <w:rsid w:val="00F72BA0"/>
    <w:rsid w:val="00FA1A10"/>
    <w:rsid w:val="00FB5DCE"/>
    <w:rsid w:val="00FB79C4"/>
    <w:rsid w:val="00FB7ECC"/>
    <w:rsid w:val="00FC4B70"/>
    <w:rsid w:val="00FC56F2"/>
    <w:rsid w:val="00FD0B32"/>
    <w:rsid w:val="00FE51A1"/>
    <w:rsid w:val="00FF14C6"/>
    <w:rsid w:val="00FF3C8E"/>
    <w:rsid w:val="02A64A28"/>
    <w:rsid w:val="0B514A22"/>
    <w:rsid w:val="1EDF39C4"/>
    <w:rsid w:val="1FB6285E"/>
    <w:rsid w:val="33F56A3A"/>
    <w:rsid w:val="3E500CD2"/>
    <w:rsid w:val="405F3F72"/>
    <w:rsid w:val="62F87402"/>
    <w:rsid w:val="76BA1D3C"/>
    <w:rsid w:val="7E01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E9D81-5670-48F9-8B5F-EC440145F6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2199</Words>
  <Characters>2319</Characters>
  <Lines>16</Lines>
  <Paragraphs>4</Paragraphs>
  <TotalTime>1</TotalTime>
  <ScaleCrop>false</ScaleCrop>
  <LinksUpToDate>false</LinksUpToDate>
  <CharactersWithSpaces>2320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2025-03-24T03:18:00Z</dcterms:created>
  <dc:creator>陈荣</dc:creator>
  <cp:lastModifiedBy>嘟一嘟</cp:lastModifiedBy>
  <cp:lastPrinted>2025-03-24T03:20:00Z</cp:lastPrinted>
  <dcterms:modified xsi:type="dcterms:W3CDTF">2026-03-30T04:03:30Z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eyJoZGlkIjoiMmE3YjNiMDQ1NmE5ZTUyMGQwNTlmYjA1NWFhYThmNDYiLCJ1c2VySWQiOiIxMDc2ODI4MDU2In0=</vt:lpwstr>
  </property>
  <property fmtid="{D5CDD505-2E9C-101B-9397-08002B2CF9AE}" pid="3" name="KSOProductBuildVer">
    <vt:lpwstr>2052-12.1.0.25225</vt:lpwstr>
  </property>
  <property fmtid="{D5CDD505-2E9C-101B-9397-08002B2CF9AE}" pid="4" name="ICV">
    <vt:lpwstr>1C1F0626FA104D2F8EEE456D77F50A90_13</vt:lpwstr>
  </property>
</Properties>
</file>